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355BFF" w:rsidRDefault="00355BFF" w:rsidP="00C92DD8"/>
    <w:p w:rsidR="00355BFF" w:rsidRDefault="00355BFF" w:rsidP="00C92DD8"/>
    <w:p w:rsidR="00355BFF" w:rsidRPr="00C641D0" w:rsidRDefault="00355BFF" w:rsidP="00C92DD8"/>
    <w:p w:rsidR="006A3710" w:rsidRPr="00C641D0" w:rsidRDefault="006A3710" w:rsidP="00C92DD8"/>
    <w:p w:rsidR="006A3710" w:rsidRDefault="006A3710" w:rsidP="00C92DD8"/>
    <w:p w:rsidR="00355BFF" w:rsidRPr="00C641D0" w:rsidRDefault="00355BFF" w:rsidP="00C92DD8"/>
    <w:p w:rsidR="006A3710" w:rsidRPr="00C641D0" w:rsidRDefault="006A3710" w:rsidP="00C92DD8"/>
    <w:p w:rsidR="006A3710" w:rsidRPr="00C641D0" w:rsidRDefault="00355BFF" w:rsidP="00C92DD8">
      <w:pPr>
        <w:jc w:val="center"/>
      </w:pPr>
      <w:r>
        <w:t>Bell v</w:t>
      </w:r>
      <w:r w:rsidR="00553471">
        <w:t>s</w:t>
      </w:r>
      <w:r w:rsidR="007C0C61">
        <w:t>.</w:t>
      </w:r>
      <w:r w:rsidR="00553471">
        <w:t xml:space="preserve"> Maryland Case</w:t>
      </w:r>
      <w:r w:rsidR="00F22694">
        <w:t xml:space="preserve"> (1964)</w:t>
      </w:r>
    </w:p>
    <w:p w:rsidR="00553471" w:rsidRDefault="00553471" w:rsidP="00C92DD8">
      <w:pPr>
        <w:jc w:val="center"/>
      </w:pPr>
      <w:r>
        <w:t>Student’s 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553471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553471" w:rsidRDefault="00553471" w:rsidP="00C92DD8">
      <w:pPr>
        <w:jc w:val="center"/>
      </w:pPr>
    </w:p>
    <w:p w:rsidR="00553471" w:rsidRDefault="00553471" w:rsidP="00C92DD8">
      <w:pPr>
        <w:jc w:val="center"/>
      </w:pPr>
    </w:p>
    <w:p w:rsidR="00553471" w:rsidRDefault="00553471" w:rsidP="00C92DD8">
      <w:pPr>
        <w:jc w:val="center"/>
      </w:pPr>
    </w:p>
    <w:p w:rsidR="00355BFF" w:rsidRDefault="00355BFF" w:rsidP="00C92DD8">
      <w:pPr>
        <w:jc w:val="center"/>
      </w:pPr>
    </w:p>
    <w:p w:rsidR="00355BFF" w:rsidRDefault="00355BFF" w:rsidP="00C92DD8">
      <w:pPr>
        <w:jc w:val="center"/>
      </w:pPr>
    </w:p>
    <w:p w:rsidR="00553471" w:rsidRDefault="00553471" w:rsidP="00C92DD8">
      <w:pPr>
        <w:jc w:val="center"/>
      </w:pPr>
    </w:p>
    <w:p w:rsidR="00553471" w:rsidRDefault="000C738C" w:rsidP="002845C2">
      <w:pPr>
        <w:jc w:val="center"/>
      </w:pPr>
      <w:r>
        <w:lastRenderedPageBreak/>
        <w:t>Bell vs</w:t>
      </w:r>
      <w:r w:rsidR="007C0C61">
        <w:t>.</w:t>
      </w:r>
      <w:r>
        <w:t xml:space="preserve"> Maryland (1964)</w:t>
      </w:r>
    </w:p>
    <w:p w:rsidR="00D53F5C" w:rsidRDefault="000C738C" w:rsidP="00553471">
      <w:r>
        <w:tab/>
        <w:t xml:space="preserve">The </w:t>
      </w:r>
      <w:r w:rsidR="00355BFF">
        <w:t>case of Bell v</w:t>
      </w:r>
      <w:r w:rsidR="009A55DD">
        <w:t>s</w:t>
      </w:r>
      <w:r w:rsidR="007C0C61">
        <w:t>.</w:t>
      </w:r>
      <w:r w:rsidR="009A55DD">
        <w:t xml:space="preserve"> Maryland entailed Negro sit-in </w:t>
      </w:r>
      <w:r w:rsidR="007B6403">
        <w:t>protesto</w:t>
      </w:r>
      <w:r w:rsidR="009A55DD">
        <w:t xml:space="preserve">rs who had refused to leave a restaurant in Baltimore that could not serve them because of their race and color of their skin. </w:t>
      </w:r>
      <w:r w:rsidR="002A57AC">
        <w:t>The owner of the restaurant Mr. Hooper had called the police</w:t>
      </w:r>
      <w:r w:rsidR="00541A9E">
        <w:t xml:space="preserve"> stating that the group of Negro Students had violated the states’ statute that prohibited trespassing. </w:t>
      </w:r>
      <w:r w:rsidR="00F20BC5">
        <w:t xml:space="preserve">Their case was presented before </w:t>
      </w:r>
      <w:r w:rsidR="007C0C61">
        <w:t xml:space="preserve">the </w:t>
      </w:r>
      <w:r w:rsidR="00355BFF">
        <w:t>Maryland Court of Appeal</w:t>
      </w:r>
      <w:r w:rsidR="007C0C61">
        <w:t>,</w:t>
      </w:r>
      <w:r w:rsidR="00F20BC5">
        <w:t xml:space="preserve"> and the court affirmed the convictions</w:t>
      </w:r>
      <w:r w:rsidR="000206EC">
        <w:t>. This was the last sit</w:t>
      </w:r>
      <w:r w:rsidR="007C0C61">
        <w:t>-</w:t>
      </w:r>
      <w:r w:rsidR="000206EC">
        <w:t xml:space="preserve">in case that decided before civil rights public accommodations took effect in the State of Maryland. </w:t>
      </w:r>
      <w:r w:rsidR="00436278">
        <w:t>Public accommodation laws made it unlawful f</w:t>
      </w:r>
      <w:r w:rsidR="00701D57">
        <w:t xml:space="preserve">or public places to deny people services because of their race. </w:t>
      </w:r>
      <w:r w:rsidR="00382357">
        <w:t>The case was subsequently presented before the United States Supreme court</w:t>
      </w:r>
      <w:r w:rsidR="007C0C61">
        <w:t>,</w:t>
      </w:r>
      <w:r w:rsidR="00382357">
        <w:t xml:space="preserve"> which </w:t>
      </w:r>
      <w:r w:rsidR="0000368B">
        <w:t xml:space="preserve">vacated the judgment of the States’ Court of Appeal and remanded the case to the court for consideration in light of the State’s change of law. </w:t>
      </w:r>
      <w:r w:rsidR="00374951">
        <w:t xml:space="preserve">This case provided the United States Supreme Court with an opportunity to </w:t>
      </w:r>
      <w:r w:rsidR="003233BF">
        <w:t xml:space="preserve">determine whether racial discrimination in the public accommodation laws by the </w:t>
      </w:r>
      <w:r w:rsidR="00F473AC">
        <w:t>privately-owned</w:t>
      </w:r>
      <w:r w:rsidR="003233BF">
        <w:t xml:space="preserve"> property violated equal protection </w:t>
      </w:r>
      <w:r w:rsidR="00C273AD">
        <w:t>under the 14</w:t>
      </w:r>
      <w:r w:rsidR="00C273AD" w:rsidRPr="00C273AD">
        <w:rPr>
          <w:vertAlign w:val="superscript"/>
        </w:rPr>
        <w:t>th</w:t>
      </w:r>
      <w:r w:rsidR="00617B5C">
        <w:t xml:space="preserve"> Amendment and the constitution</w:t>
      </w:r>
      <w:r w:rsidR="00617B5C" w:rsidRPr="00617B5C">
        <w:rPr>
          <w:rFonts w:eastAsia="Arial Unicode MS"/>
          <w:color w:val="000000"/>
          <w:shd w:val="clear" w:color="auto" w:fill="FFFFFF"/>
        </w:rPr>
        <w:t xml:space="preserve"> </w:t>
      </w:r>
      <w:r w:rsidR="00617B5C">
        <w:rPr>
          <w:rFonts w:eastAsia="Arial Unicode MS"/>
          <w:color w:val="000000"/>
          <w:shd w:val="clear" w:color="auto" w:fill="FFFFFF"/>
        </w:rPr>
        <w:t xml:space="preserve">(Gottlieb, </w:t>
      </w:r>
      <w:r w:rsidR="00F22694">
        <w:rPr>
          <w:rFonts w:eastAsia="Arial Unicode MS"/>
          <w:color w:val="000000"/>
          <w:shd w:val="clear" w:color="auto" w:fill="FFFFFF"/>
        </w:rPr>
        <w:t>Bix,</w:t>
      </w:r>
      <w:r w:rsidR="00617B5C">
        <w:rPr>
          <w:rFonts w:eastAsia="Arial Unicode MS"/>
          <w:color w:val="000000"/>
          <w:shd w:val="clear" w:color="auto" w:fill="FFFFFF"/>
        </w:rPr>
        <w:t xml:space="preserve"> Lytton</w:t>
      </w:r>
      <w:r w:rsidR="00617B5C" w:rsidRPr="00355BFF">
        <w:rPr>
          <w:rFonts w:eastAsia="Arial Unicode MS"/>
          <w:color w:val="000000"/>
          <w:shd w:val="clear" w:color="auto" w:fill="FFFFFF"/>
        </w:rPr>
        <w:t>, &amp; West</w:t>
      </w:r>
      <w:r w:rsidR="00617B5C">
        <w:rPr>
          <w:rFonts w:eastAsia="Arial Unicode MS"/>
          <w:color w:val="000000"/>
          <w:shd w:val="clear" w:color="auto" w:fill="FFFFFF"/>
        </w:rPr>
        <w:t>, 2015).</w:t>
      </w:r>
    </w:p>
    <w:p w:rsidR="000C738C" w:rsidRDefault="00D53F5C" w:rsidP="00553471">
      <w:r>
        <w:tab/>
      </w:r>
      <w:r w:rsidR="00FA5B66">
        <w:t>The United States Supreme Court has</w:t>
      </w:r>
      <w:r w:rsidR="007C0C61">
        <w:t>,</w:t>
      </w:r>
      <w:r w:rsidR="00FA5B66">
        <w:t xml:space="preserve"> for a long time</w:t>
      </w:r>
      <w:r w:rsidR="007C0C61">
        <w:t>,</w:t>
      </w:r>
      <w:r w:rsidR="00FA5B66">
        <w:t xml:space="preserve"> relied on two distinct models as essential determinants in making its decisions. The legal model primarily</w:t>
      </w:r>
      <w:r w:rsidR="00E77C39">
        <w:t xml:space="preserve"> prop</w:t>
      </w:r>
      <w:r w:rsidR="00751281">
        <w:t>oses the rule of law as the key determinant</w:t>
      </w:r>
      <w:r w:rsidR="007C0C61">
        <w:t>,</w:t>
      </w:r>
      <w:r w:rsidR="00751281">
        <w:t xml:space="preserve"> whereas </w:t>
      </w:r>
      <w:r w:rsidR="007C0C61">
        <w:t xml:space="preserve">the </w:t>
      </w:r>
      <w:r w:rsidR="00751281">
        <w:t>extralegal model rel</w:t>
      </w:r>
      <w:r w:rsidR="007C0C61">
        <w:t>ies</w:t>
      </w:r>
      <w:r w:rsidR="00751281">
        <w:t xml:space="preserve"> on psychological, </w:t>
      </w:r>
      <w:r w:rsidR="001747B6">
        <w:t>sociological</w:t>
      </w:r>
      <w:r w:rsidR="007C0C61">
        <w:t>,</w:t>
      </w:r>
      <w:r w:rsidR="00751281">
        <w:t xml:space="preserve"> and political factors </w:t>
      </w:r>
      <w:r w:rsidR="002A2BB6">
        <w:t xml:space="preserve">in arriving at judicial outcomes. </w:t>
      </w:r>
      <w:r w:rsidR="0043392D">
        <w:t xml:space="preserve">Law is dynamic and should reflect the changing morals and values of society. </w:t>
      </w:r>
      <w:r w:rsidR="00B377EA">
        <w:t>Just as other human beings, judges are influenced by values, attitudes</w:t>
      </w:r>
      <w:r w:rsidR="007C0C61">
        <w:t>,</w:t>
      </w:r>
      <w:r w:rsidR="00B377EA">
        <w:t xml:space="preserve"> and morals. </w:t>
      </w:r>
      <w:r w:rsidR="00E37D47">
        <w:t>Judges are more susceptible to extra</w:t>
      </w:r>
      <w:r w:rsidR="007C0C61">
        <w:t>-</w:t>
      </w:r>
      <w:r w:rsidR="00E37D47">
        <w:t xml:space="preserve">legal influences as the rules and laws are available to support them at either side. </w:t>
      </w:r>
    </w:p>
    <w:p w:rsidR="00BC273B" w:rsidRDefault="00B618D7" w:rsidP="00553471">
      <w:r>
        <w:tab/>
      </w:r>
      <w:r w:rsidR="00D2247F">
        <w:t xml:space="preserve">The </w:t>
      </w:r>
      <w:r w:rsidR="0062297E">
        <w:t>decision on the case marked the beginning of an end for prosecutions of sit</w:t>
      </w:r>
      <w:r w:rsidR="007C0C61">
        <w:t>-</w:t>
      </w:r>
      <w:r w:rsidR="0062297E">
        <w:t xml:space="preserve">in protestors. The court thought that </w:t>
      </w:r>
      <w:r w:rsidR="007C0C61">
        <w:t xml:space="preserve">the </w:t>
      </w:r>
      <w:r w:rsidR="0062297E">
        <w:t xml:space="preserve">Maryland State Court of Appeals might apply the rule of </w:t>
      </w:r>
      <w:r w:rsidR="0062297E">
        <w:lastRenderedPageBreak/>
        <w:t>the provisions of public accommodations, it</w:t>
      </w:r>
      <w:r w:rsidR="007C0C61">
        <w:t>, therefore,</w:t>
      </w:r>
      <w:r w:rsidR="0062297E">
        <w:t xml:space="preserve"> sent it back for reconsideration. </w:t>
      </w:r>
      <w:r w:rsidR="001B261E">
        <w:t>The Supreme Court judges allowed morals to play a significant role in the decision-making</w:t>
      </w:r>
      <w:bookmarkStart w:id="0" w:name="_GoBack"/>
      <w:bookmarkEnd w:id="0"/>
      <w:r w:rsidR="001B261E">
        <w:t xml:space="preserve"> process. </w:t>
      </w:r>
    </w:p>
    <w:p w:rsidR="00DD345E" w:rsidRDefault="00DD345E">
      <w:pPr>
        <w:spacing w:line="240" w:lineRule="auto"/>
      </w:pPr>
    </w:p>
    <w:p w:rsidR="00355BFF" w:rsidRDefault="001753DD" w:rsidP="00E85D32">
      <w:r>
        <w:tab/>
      </w:r>
      <w:r w:rsidR="00E07B0C">
        <w:t>Since the Civil rights Act of 1994</w:t>
      </w:r>
      <w:r w:rsidR="007C0C61">
        <w:t>,</w:t>
      </w:r>
      <w:r w:rsidR="00E07B0C">
        <w:t xml:space="preserve"> the courts have often been l</w:t>
      </w:r>
      <w:r w:rsidR="0024604F">
        <w:t>eft wit</w:t>
      </w:r>
      <w:r w:rsidR="007B481A">
        <w:t xml:space="preserve">hout the disposition of </w:t>
      </w:r>
      <w:r w:rsidR="00F22694">
        <w:t>conflicts. The</w:t>
      </w:r>
      <w:r w:rsidR="00DD345E">
        <w:t xml:space="preserve"> dissenters though</w:t>
      </w:r>
      <w:r w:rsidR="007C0C61">
        <w:t>t</w:t>
      </w:r>
      <w:r w:rsidR="00DD345E">
        <w:t xml:space="preserve"> that the 14</w:t>
      </w:r>
      <w:r w:rsidR="00DD345E" w:rsidRPr="00DD345E">
        <w:rPr>
          <w:vertAlign w:val="superscript"/>
        </w:rPr>
        <w:t>th</w:t>
      </w:r>
      <w:r w:rsidR="00DD345E">
        <w:t xml:space="preserve"> Amendment did not oblige businesses to desegregate. </w:t>
      </w:r>
      <w:r w:rsidR="002C3C80">
        <w:t>Justice Hugo Black, joined by Byron White and John Harlan II</w:t>
      </w:r>
      <w:r w:rsidR="007C0C61">
        <w:t>,</w:t>
      </w:r>
      <w:r w:rsidR="002C3C80">
        <w:t xml:space="preserve"> wrote a dissenting opinion in which he maintained that the 14</w:t>
      </w:r>
      <w:r w:rsidR="002C3C80" w:rsidRPr="002C3C80">
        <w:rPr>
          <w:vertAlign w:val="superscript"/>
        </w:rPr>
        <w:t>th</w:t>
      </w:r>
      <w:r w:rsidR="002C3C80">
        <w:t xml:space="preserve"> amendment did not prohibit enforcement of trespass law in convicting people who sought services from privately</w:t>
      </w:r>
      <w:r w:rsidR="007C0C61">
        <w:t>-</w:t>
      </w:r>
      <w:r w:rsidR="002C3C80">
        <w:t>owned restaurant</w:t>
      </w:r>
      <w:r w:rsidR="00BF5781">
        <w:t>. While focusing on first amendment issues, Justice Black denied that the</w:t>
      </w:r>
      <w:r w:rsidR="00355BFF">
        <w:t xml:space="preserve"> aspect</w:t>
      </w:r>
      <w:r w:rsidR="00BF5781">
        <w:t xml:space="preserve"> was uncertain. In his observation, he </w:t>
      </w:r>
      <w:r w:rsidR="00EB6A15">
        <w:t xml:space="preserve">noted that it was challenging to take seriously a contention that </w:t>
      </w:r>
      <w:r w:rsidR="00DE3E69">
        <w:t>petitioners were aware of</w:t>
      </w:r>
      <w:r w:rsidR="0081292F">
        <w:t xml:space="preserve"> before they could enter the restaurant. </w:t>
      </w:r>
    </w:p>
    <w:p w:rsidR="00DD345E" w:rsidRDefault="000279C9" w:rsidP="00355BFF">
      <w:pPr>
        <w:ind w:firstLine="720"/>
      </w:pPr>
      <w:r>
        <w:t>Therefore,</w:t>
      </w:r>
      <w:r w:rsidR="0081292F">
        <w:t xml:space="preserve"> he argued that it was the restaurant’s owner’s fully established policy no to serve </w:t>
      </w:r>
      <w:r w:rsidR="00327964">
        <w:t xml:space="preserve">people of color. </w:t>
      </w:r>
      <w:r w:rsidR="005F0207">
        <w:t>He argued that the sit</w:t>
      </w:r>
      <w:r w:rsidR="007C0C61">
        <w:t>-</w:t>
      </w:r>
      <w:r w:rsidR="005F0207">
        <w:t>in was to demonstrate the policy. Justice Black denied that people’s right to freedom of expression also meant a right to private property forc</w:t>
      </w:r>
      <w:r w:rsidR="00A30E69">
        <w:t>e</w:t>
      </w:r>
      <w:r w:rsidR="00355BFF">
        <w:t>s</w:t>
      </w:r>
      <w:r w:rsidR="00A30E69">
        <w:t xml:space="preserve"> the property owner to </w:t>
      </w:r>
      <w:r w:rsidR="000F499D">
        <w:t>furnish</w:t>
      </w:r>
      <w:r w:rsidR="00491B19">
        <w:t xml:space="preserve"> the property in </w:t>
      </w:r>
      <w:r w:rsidR="00F22694">
        <w:t>the way of</w:t>
      </w:r>
      <w:r w:rsidR="000F499D">
        <w:t xml:space="preserve"> </w:t>
      </w:r>
      <w:r w:rsidR="00F22694">
        <w:t>criticizing how</w:t>
      </w:r>
      <w:r w:rsidR="000E24F1">
        <w:t xml:space="preserve"> the owner decides to use the property.</w:t>
      </w:r>
      <w:r w:rsidR="001D4854">
        <w:t xml:space="preserve"> Justice black disputed the notion the 14</w:t>
      </w:r>
      <w:r w:rsidR="001D4854" w:rsidRPr="001D4854">
        <w:rPr>
          <w:vertAlign w:val="superscript"/>
        </w:rPr>
        <w:t>th</w:t>
      </w:r>
      <w:r w:rsidR="001D4854">
        <w:t xml:space="preserve"> amendment compelled operating his or her own private business to trade with anyone, whether white of </w:t>
      </w:r>
      <w:r w:rsidR="00F22694">
        <w:t>black, against</w:t>
      </w:r>
      <w:r w:rsidR="0035248A">
        <w:t xml:space="preserve"> his or her will. </w:t>
      </w:r>
      <w:r w:rsidR="006C045B">
        <w:t xml:space="preserve">Black further argued that the right to freedom of expression was solely based on the right to express </w:t>
      </w:r>
      <w:r w:rsidR="007C0C61">
        <w:t xml:space="preserve">a </w:t>
      </w:r>
      <w:r w:rsidR="006C045B">
        <w:t>view and not just to force other</w:t>
      </w:r>
      <w:r w:rsidR="007C0C61">
        <w:t>s</w:t>
      </w:r>
      <w:r w:rsidR="006C045B">
        <w:t xml:space="preserve"> to provide a </w:t>
      </w:r>
      <w:r w:rsidR="00F22694">
        <w:t>platform</w:t>
      </w:r>
      <w:r w:rsidR="00F22694">
        <w:rPr>
          <w:rFonts w:eastAsia="Arial Unicode MS"/>
          <w:color w:val="000000"/>
          <w:shd w:val="clear" w:color="auto" w:fill="FFFFFF"/>
        </w:rPr>
        <w:t xml:space="preserve"> (</w:t>
      </w:r>
      <w:r w:rsidR="00617B5C">
        <w:rPr>
          <w:rFonts w:eastAsia="Arial Unicode MS"/>
          <w:color w:val="000000"/>
          <w:shd w:val="clear" w:color="auto" w:fill="FFFFFF"/>
        </w:rPr>
        <w:t xml:space="preserve">Gottlieb, </w:t>
      </w:r>
      <w:r w:rsidR="00F22694">
        <w:rPr>
          <w:rFonts w:eastAsia="Arial Unicode MS"/>
          <w:color w:val="000000"/>
          <w:shd w:val="clear" w:color="auto" w:fill="FFFFFF"/>
        </w:rPr>
        <w:t>Bix,</w:t>
      </w:r>
      <w:r w:rsidR="00617B5C">
        <w:rPr>
          <w:rFonts w:eastAsia="Arial Unicode MS"/>
          <w:color w:val="000000"/>
          <w:shd w:val="clear" w:color="auto" w:fill="FFFFFF"/>
        </w:rPr>
        <w:t xml:space="preserve"> Lytton</w:t>
      </w:r>
      <w:r w:rsidR="00617B5C" w:rsidRPr="00355BFF">
        <w:rPr>
          <w:rFonts w:eastAsia="Arial Unicode MS"/>
          <w:color w:val="000000"/>
          <w:shd w:val="clear" w:color="auto" w:fill="FFFFFF"/>
        </w:rPr>
        <w:t>, &amp; West</w:t>
      </w:r>
      <w:r w:rsidR="00617B5C">
        <w:rPr>
          <w:rFonts w:eastAsia="Arial Unicode MS"/>
          <w:color w:val="000000"/>
          <w:shd w:val="clear" w:color="auto" w:fill="FFFFFF"/>
        </w:rPr>
        <w:t>, 2015).</w:t>
      </w:r>
    </w:p>
    <w:p w:rsidR="00924BAB" w:rsidRDefault="00D15AFA" w:rsidP="00DD345E">
      <w:pPr>
        <w:ind w:firstLine="720"/>
      </w:pPr>
      <w:r>
        <w:t xml:space="preserve">Ronald put human dignity at </w:t>
      </w:r>
      <w:r w:rsidR="00F22694">
        <w:t>the center</w:t>
      </w:r>
      <w:r>
        <w:t xml:space="preserve"> of </w:t>
      </w:r>
      <w:r w:rsidR="007C0C61">
        <w:t xml:space="preserve">the </w:t>
      </w:r>
      <w:r>
        <w:t xml:space="preserve">moral system. </w:t>
      </w:r>
      <w:r w:rsidR="007C0C61">
        <w:t>H</w:t>
      </w:r>
      <w:r w:rsidR="0051088A">
        <w:t xml:space="preserve">is critique of positivist theories </w:t>
      </w:r>
      <w:r w:rsidR="007C2DBE">
        <w:t>underlies</w:t>
      </w:r>
      <w:r w:rsidR="0051088A">
        <w:t xml:space="preserve"> his theory of law. Dworkin believed that Hart’s concept of law was the ruling theory of law. </w:t>
      </w:r>
      <w:r w:rsidR="000A1B86">
        <w:t xml:space="preserve">Dworkin’s critique of </w:t>
      </w:r>
      <w:r w:rsidR="007C0C61">
        <w:t xml:space="preserve">the </w:t>
      </w:r>
      <w:r w:rsidR="000A1B86">
        <w:t xml:space="preserve">concept of law primarily focused on the role of </w:t>
      </w:r>
      <w:r w:rsidR="000A1B86">
        <w:lastRenderedPageBreak/>
        <w:t>principles and rules</w:t>
      </w:r>
      <w:r w:rsidR="00CB6B09">
        <w:t xml:space="preserve"> in law. </w:t>
      </w:r>
      <w:r w:rsidR="007C0C61">
        <w:t>H</w:t>
      </w:r>
      <w:r w:rsidR="00C3200F">
        <w:t>owever</w:t>
      </w:r>
      <w:r w:rsidR="007C0C61">
        <w:t>,</w:t>
      </w:r>
      <w:r w:rsidR="00C3200F">
        <w:t xml:space="preserve"> other issues such as </w:t>
      </w:r>
      <w:r w:rsidR="00AC08CF">
        <w:t xml:space="preserve">problems of judicial </w:t>
      </w:r>
      <w:r w:rsidR="00A216D0">
        <w:t>discreti</w:t>
      </w:r>
      <w:r w:rsidR="00F22694">
        <w:t xml:space="preserve">on and </w:t>
      </w:r>
      <w:r w:rsidR="007C0C61">
        <w:t xml:space="preserve">the </w:t>
      </w:r>
      <w:r w:rsidR="00F22694">
        <w:t>role of customers emerged.</w:t>
      </w:r>
      <w:r w:rsidR="00AC08CF">
        <w:t xml:space="preserve"> </w:t>
      </w:r>
    </w:p>
    <w:p w:rsidR="00355BFF" w:rsidRDefault="00A216D0" w:rsidP="00DD345E">
      <w:pPr>
        <w:ind w:firstLine="720"/>
      </w:pPr>
      <w:r>
        <w:t xml:space="preserve">On the other </w:t>
      </w:r>
      <w:r w:rsidR="00971480">
        <w:t>hand,</w:t>
      </w:r>
      <w:r>
        <w:t xml:space="preserve"> Har</w:t>
      </w:r>
      <w:r w:rsidR="00971480">
        <w:t>t</w:t>
      </w:r>
      <w:r>
        <w:t xml:space="preserve"> does not fail</w:t>
      </w:r>
      <w:r w:rsidR="00093297">
        <w:t xml:space="preserve"> and take into account </w:t>
      </w:r>
      <w:r w:rsidR="006D7554">
        <w:t>specific concepts that go beyond rules</w:t>
      </w:r>
      <w:r w:rsidR="000B4C3A">
        <w:t xml:space="preserve">. Therefore, this model of positivism can be described as </w:t>
      </w:r>
      <w:r w:rsidR="007C0C61">
        <w:t xml:space="preserve">a </w:t>
      </w:r>
      <w:r w:rsidR="000B4C3A">
        <w:t xml:space="preserve">model </w:t>
      </w:r>
      <w:r w:rsidR="003A180F">
        <w:t xml:space="preserve">whose focus is on the test for law and system of rules. </w:t>
      </w:r>
      <w:r w:rsidR="00D17509">
        <w:t xml:space="preserve">Hart minimizes the scope of laws to rules identifiable by the rule of recognition. </w:t>
      </w:r>
      <w:r w:rsidR="00010DA1">
        <w:t xml:space="preserve">Hart’s positive theory fails to acknowledge the role </w:t>
      </w:r>
      <w:r w:rsidR="00F22694">
        <w:t>of</w:t>
      </w:r>
      <w:r w:rsidR="007C2DBE">
        <w:t xml:space="preserve"> </w:t>
      </w:r>
      <w:r w:rsidR="00F22694">
        <w:t>existing customs</w:t>
      </w:r>
      <w:r w:rsidR="00C42C22">
        <w:t xml:space="preserve"> and concepts that influence judicial decision making. </w:t>
      </w:r>
      <w:r w:rsidR="004A347B">
        <w:t xml:space="preserve">Ronald Dworkin’s main concern </w:t>
      </w:r>
      <w:r w:rsidR="00F22694">
        <w:t xml:space="preserve">was </w:t>
      </w:r>
      <w:r w:rsidR="004A347B">
        <w:t>o</w:t>
      </w:r>
      <w:r w:rsidR="00F22694">
        <w:t>n</w:t>
      </w:r>
      <w:r w:rsidR="004A347B">
        <w:t xml:space="preserve"> development of the first phase of developing his theory</w:t>
      </w:r>
      <w:r w:rsidR="00167673">
        <w:t>.</w:t>
      </w:r>
    </w:p>
    <w:p w:rsidR="00B618D7" w:rsidRDefault="00167673" w:rsidP="00355BFF">
      <w:pPr>
        <w:ind w:firstLine="720"/>
      </w:pPr>
      <w:r>
        <w:t xml:space="preserve"> Ronald and Hart would agree with </w:t>
      </w:r>
      <w:r w:rsidR="00355BFF">
        <w:t>Justice</w:t>
      </w:r>
      <w:r w:rsidR="00CF3C40">
        <w:t xml:space="preserve"> </w:t>
      </w:r>
      <w:r w:rsidR="003600DB">
        <w:t xml:space="preserve">William Douglass who presented a </w:t>
      </w:r>
      <w:r w:rsidR="005436EA">
        <w:t>concurring</w:t>
      </w:r>
      <w:r w:rsidR="00710F4D">
        <w:t xml:space="preserve"> opinion where he argued </w:t>
      </w:r>
      <w:r w:rsidR="00450915">
        <w:t xml:space="preserve">that </w:t>
      </w:r>
      <w:r w:rsidR="005462FF">
        <w:t>majority opinion should reverse the judgment and direct dism</w:t>
      </w:r>
      <w:r w:rsidR="0049016E">
        <w:t xml:space="preserve">issal </w:t>
      </w:r>
      <w:r w:rsidR="000412BA">
        <w:t xml:space="preserve">of </w:t>
      </w:r>
      <w:r w:rsidR="007C0C61">
        <w:t xml:space="preserve">the </w:t>
      </w:r>
      <w:r w:rsidR="000412BA">
        <w:t xml:space="preserve">indictment. He argued that cases should be addressed </w:t>
      </w:r>
      <w:r w:rsidR="00442461">
        <w:t>and judgment mad</w:t>
      </w:r>
      <w:r w:rsidR="00777186">
        <w:t>e based on merits</w:t>
      </w:r>
      <w:r w:rsidR="002E48DF">
        <w:t>. Justice Willian asserted that polities that allowed people</w:t>
      </w:r>
      <w:r w:rsidR="00F22694">
        <w:t>s’</w:t>
      </w:r>
      <w:r w:rsidR="002E48DF">
        <w:t xml:space="preserve"> </w:t>
      </w:r>
      <w:r w:rsidR="00552714">
        <w:t>discrimination based</w:t>
      </w:r>
      <w:r w:rsidR="007B1AE7">
        <w:t xml:space="preserve"> on race establish a second </w:t>
      </w:r>
      <w:r w:rsidR="00F22694">
        <w:t xml:space="preserve">class of citizens. </w:t>
      </w:r>
      <w:r w:rsidR="00243508">
        <w:t xml:space="preserve">Justice Aurhtur J. Goldernber also joined in the concurrence. </w:t>
      </w:r>
      <w:r w:rsidR="007C2DBE">
        <w:t xml:space="preserve">Justice William Douglass would agree with Dworkin and Hart as they share common fundamental beliefs of </w:t>
      </w:r>
      <w:r w:rsidR="00F04F0A">
        <w:t xml:space="preserve">human dignity. </w:t>
      </w:r>
      <w:r w:rsidR="003327BF">
        <w:t>The dissenting justices held the opinion that the 14</w:t>
      </w:r>
      <w:r w:rsidR="003327BF" w:rsidRPr="003327BF">
        <w:rPr>
          <w:vertAlign w:val="superscript"/>
        </w:rPr>
        <w:t>th</w:t>
      </w:r>
      <w:r w:rsidR="003327BF">
        <w:t xml:space="preserve"> Amendment did not </w:t>
      </w:r>
      <w:r w:rsidR="00617B5C">
        <w:rPr>
          <w:rFonts w:eastAsia="Arial Unicode MS"/>
          <w:color w:val="000000"/>
          <w:shd w:val="clear" w:color="auto" w:fill="FFFFFF"/>
        </w:rPr>
        <w:t xml:space="preserve">(Gottlieb, </w:t>
      </w:r>
      <w:r w:rsidR="00F22694">
        <w:rPr>
          <w:rFonts w:eastAsia="Arial Unicode MS"/>
          <w:color w:val="000000"/>
          <w:shd w:val="clear" w:color="auto" w:fill="FFFFFF"/>
        </w:rPr>
        <w:t>Bix,</w:t>
      </w:r>
      <w:r w:rsidR="00617B5C">
        <w:rPr>
          <w:rFonts w:eastAsia="Arial Unicode MS"/>
          <w:color w:val="000000"/>
          <w:shd w:val="clear" w:color="auto" w:fill="FFFFFF"/>
        </w:rPr>
        <w:t xml:space="preserve"> Lytton</w:t>
      </w:r>
      <w:r w:rsidR="00617B5C" w:rsidRPr="00355BFF">
        <w:rPr>
          <w:rFonts w:eastAsia="Arial Unicode MS"/>
          <w:color w:val="000000"/>
          <w:shd w:val="clear" w:color="auto" w:fill="FFFFFF"/>
        </w:rPr>
        <w:t>, &amp; West</w:t>
      </w:r>
      <w:r w:rsidR="00617B5C">
        <w:rPr>
          <w:rFonts w:eastAsia="Arial Unicode MS"/>
          <w:color w:val="000000"/>
          <w:shd w:val="clear" w:color="auto" w:fill="FFFFFF"/>
        </w:rPr>
        <w:t>, 2015).</w:t>
      </w:r>
    </w:p>
    <w:p w:rsidR="004D6A5D" w:rsidRDefault="004D6A5D" w:rsidP="00C92DD8"/>
    <w:p w:rsidR="00355BFF" w:rsidRDefault="00355BFF" w:rsidP="00C92DD8"/>
    <w:p w:rsidR="00355BFF" w:rsidRDefault="00355BFF" w:rsidP="00C92DD8"/>
    <w:p w:rsidR="00355BFF" w:rsidRDefault="00355BFF" w:rsidP="00C92DD8"/>
    <w:p w:rsidR="00355BFF" w:rsidRDefault="00355BFF" w:rsidP="00C92DD8"/>
    <w:p w:rsidR="00355BFF" w:rsidRDefault="00355BFF" w:rsidP="00C92DD8"/>
    <w:p w:rsidR="00355BFF" w:rsidRDefault="00355BFF" w:rsidP="00C92DD8"/>
    <w:p w:rsidR="00355BFF" w:rsidRDefault="00355BFF" w:rsidP="00C92DD8"/>
    <w:p w:rsidR="00355BFF" w:rsidRDefault="00355BFF" w:rsidP="00355BFF">
      <w:pPr>
        <w:jc w:val="center"/>
      </w:pPr>
      <w:r>
        <w:t>Reference.</w:t>
      </w:r>
    </w:p>
    <w:p w:rsidR="00355BFF" w:rsidRPr="00355BFF" w:rsidRDefault="00355BFF" w:rsidP="00355BFF">
      <w:pPr>
        <w:ind w:left="720" w:hanging="720"/>
      </w:pPr>
      <w:r w:rsidRPr="00355BFF">
        <w:rPr>
          <w:rFonts w:eastAsia="Arial Unicode MS"/>
          <w:color w:val="000000"/>
          <w:shd w:val="clear" w:color="auto" w:fill="FFFFFF"/>
        </w:rPr>
        <w:t>Gottlieb, S. E., Bix, B., Lytton, T. D., &amp; West, R. (2015). </w:t>
      </w:r>
      <w:r w:rsidRPr="00355BFF">
        <w:rPr>
          <w:rFonts w:eastAsia="Arial Unicode MS"/>
          <w:i/>
          <w:iCs/>
          <w:color w:val="000000"/>
          <w:shd w:val="clear" w:color="auto" w:fill="FFFFFF"/>
        </w:rPr>
        <w:t>Jurisprudence cases and materials: An introduction to the philosophy of law and its applications</w:t>
      </w:r>
      <w:r w:rsidRPr="00355BFF">
        <w:rPr>
          <w:rFonts w:eastAsia="Arial Unicode MS"/>
          <w:color w:val="000000"/>
          <w:shd w:val="clear" w:color="auto" w:fill="FFFFFF"/>
        </w:rPr>
        <w:t>.</w:t>
      </w:r>
    </w:p>
    <w:sectPr w:rsidR="00355BFF" w:rsidRPr="00355BFF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965" w:rsidRDefault="00B36965" w:rsidP="004D6A5D">
      <w:pPr>
        <w:spacing w:line="240" w:lineRule="auto"/>
      </w:pPr>
      <w:r>
        <w:separator/>
      </w:r>
    </w:p>
  </w:endnote>
  <w:endnote w:type="continuationSeparator" w:id="1">
    <w:p w:rsidR="00B36965" w:rsidRDefault="00B36965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965" w:rsidRDefault="00B36965" w:rsidP="004D6A5D">
      <w:pPr>
        <w:spacing w:line="240" w:lineRule="auto"/>
      </w:pPr>
      <w:r>
        <w:separator/>
      </w:r>
    </w:p>
  </w:footnote>
  <w:footnote w:type="continuationSeparator" w:id="1">
    <w:p w:rsidR="00B36965" w:rsidRDefault="00B36965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553471" w:rsidP="00CB5B41">
    <w:pPr>
      <w:pStyle w:val="Header"/>
    </w:pPr>
    <w:r>
      <w:t>BELL VS MARYLAND CASE</w:t>
    </w:r>
    <w:r w:rsidR="00F22694">
      <w:t xml:space="preserve"> (1964)</w:t>
    </w:r>
    <w:r w:rsidR="00CB5B41">
      <w:tab/>
    </w:r>
    <w:r w:rsidR="00CB5B41">
      <w:tab/>
    </w:r>
    <w:r w:rsidR="00C87B3A">
      <w:fldChar w:fldCharType="begin"/>
    </w:r>
    <w:r w:rsidR="00CB5B41">
      <w:instrText xml:space="preserve"> PAGE   \* MERGEFORMAT </w:instrText>
    </w:r>
    <w:r w:rsidR="00C87B3A">
      <w:fldChar w:fldCharType="separate"/>
    </w:r>
    <w:r w:rsidR="00F22694">
      <w:rPr>
        <w:noProof/>
      </w:rPr>
      <w:t>5</w:t>
    </w:r>
    <w:r w:rsidR="00C87B3A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553471">
      <w:t>BELL VS MARYLAND CASE</w:t>
    </w:r>
    <w:r w:rsidR="00F22694">
      <w:t xml:space="preserve"> (1964)</w:t>
    </w:r>
    <w:r w:rsidR="00553471">
      <w:tab/>
    </w:r>
    <w:r>
      <w:tab/>
    </w:r>
    <w:r w:rsidR="00C87B3A">
      <w:fldChar w:fldCharType="begin"/>
    </w:r>
    <w:r>
      <w:instrText xml:space="preserve"> PAGE   \* MERGEFORMAT </w:instrText>
    </w:r>
    <w:r w:rsidR="00C87B3A">
      <w:fldChar w:fldCharType="separate"/>
    </w:r>
    <w:r w:rsidR="00F22694">
      <w:rPr>
        <w:noProof/>
      </w:rPr>
      <w:t>1</w:t>
    </w:r>
    <w:r w:rsidR="00C87B3A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A1MjUyNLK0sDQ1MTRX0lEKTi0uzszPAykwrgUAtr4MICwAAAA="/>
  </w:docVars>
  <w:rsids>
    <w:rsidRoot w:val="00553471"/>
    <w:rsid w:val="0000368B"/>
    <w:rsid w:val="00010DA1"/>
    <w:rsid w:val="000206EC"/>
    <w:rsid w:val="000279C9"/>
    <w:rsid w:val="000412BA"/>
    <w:rsid w:val="000716E7"/>
    <w:rsid w:val="00093297"/>
    <w:rsid w:val="000A1B86"/>
    <w:rsid w:val="000B4C3A"/>
    <w:rsid w:val="000C738C"/>
    <w:rsid w:val="000E1322"/>
    <w:rsid w:val="000E24F1"/>
    <w:rsid w:val="000F499D"/>
    <w:rsid w:val="00111D4E"/>
    <w:rsid w:val="001159BE"/>
    <w:rsid w:val="00147F2D"/>
    <w:rsid w:val="001646EA"/>
    <w:rsid w:val="00167673"/>
    <w:rsid w:val="001747B6"/>
    <w:rsid w:val="001753DD"/>
    <w:rsid w:val="001B261E"/>
    <w:rsid w:val="001D4854"/>
    <w:rsid w:val="00207C70"/>
    <w:rsid w:val="00243508"/>
    <w:rsid w:val="0024604F"/>
    <w:rsid w:val="00256793"/>
    <w:rsid w:val="002845C2"/>
    <w:rsid w:val="002A2BB6"/>
    <w:rsid w:val="002A57AC"/>
    <w:rsid w:val="002B0E31"/>
    <w:rsid w:val="002C3C80"/>
    <w:rsid w:val="002E48DF"/>
    <w:rsid w:val="00307786"/>
    <w:rsid w:val="0031584C"/>
    <w:rsid w:val="003233BF"/>
    <w:rsid w:val="00327964"/>
    <w:rsid w:val="003327BF"/>
    <w:rsid w:val="0035248A"/>
    <w:rsid w:val="00355BFF"/>
    <w:rsid w:val="003600DB"/>
    <w:rsid w:val="003727C6"/>
    <w:rsid w:val="00374951"/>
    <w:rsid w:val="00382357"/>
    <w:rsid w:val="003A180F"/>
    <w:rsid w:val="0043392D"/>
    <w:rsid w:val="00436278"/>
    <w:rsid w:val="00442461"/>
    <w:rsid w:val="00450915"/>
    <w:rsid w:val="00485D1F"/>
    <w:rsid w:val="0049016E"/>
    <w:rsid w:val="00490CFC"/>
    <w:rsid w:val="00491B19"/>
    <w:rsid w:val="004A347B"/>
    <w:rsid w:val="004D6A5D"/>
    <w:rsid w:val="0051088A"/>
    <w:rsid w:val="00541A9E"/>
    <w:rsid w:val="005436EA"/>
    <w:rsid w:val="005462FF"/>
    <w:rsid w:val="00552714"/>
    <w:rsid w:val="00553471"/>
    <w:rsid w:val="005E0380"/>
    <w:rsid w:val="005F0207"/>
    <w:rsid w:val="00617B5C"/>
    <w:rsid w:val="0062297E"/>
    <w:rsid w:val="006659B5"/>
    <w:rsid w:val="006A3710"/>
    <w:rsid w:val="006C045B"/>
    <w:rsid w:val="006D7554"/>
    <w:rsid w:val="00701D57"/>
    <w:rsid w:val="00710F4D"/>
    <w:rsid w:val="007437DC"/>
    <w:rsid w:val="00751281"/>
    <w:rsid w:val="00777186"/>
    <w:rsid w:val="007B1AE7"/>
    <w:rsid w:val="007B481A"/>
    <w:rsid w:val="007B6403"/>
    <w:rsid w:val="007C0C61"/>
    <w:rsid w:val="007C2DBE"/>
    <w:rsid w:val="007D1B5A"/>
    <w:rsid w:val="0081292F"/>
    <w:rsid w:val="008C194D"/>
    <w:rsid w:val="00920712"/>
    <w:rsid w:val="00924BAB"/>
    <w:rsid w:val="009602C6"/>
    <w:rsid w:val="00971480"/>
    <w:rsid w:val="00975726"/>
    <w:rsid w:val="009A55DD"/>
    <w:rsid w:val="009D2700"/>
    <w:rsid w:val="009E1FB8"/>
    <w:rsid w:val="00A216D0"/>
    <w:rsid w:val="00A30E69"/>
    <w:rsid w:val="00A944C9"/>
    <w:rsid w:val="00AC08CF"/>
    <w:rsid w:val="00B36965"/>
    <w:rsid w:val="00B377EA"/>
    <w:rsid w:val="00B618D7"/>
    <w:rsid w:val="00B926E4"/>
    <w:rsid w:val="00B92EF6"/>
    <w:rsid w:val="00BC273B"/>
    <w:rsid w:val="00BF5781"/>
    <w:rsid w:val="00C00033"/>
    <w:rsid w:val="00C273AD"/>
    <w:rsid w:val="00C3200F"/>
    <w:rsid w:val="00C42C22"/>
    <w:rsid w:val="00C641D0"/>
    <w:rsid w:val="00C87B3A"/>
    <w:rsid w:val="00C92DD8"/>
    <w:rsid w:val="00CB5B41"/>
    <w:rsid w:val="00CB6B09"/>
    <w:rsid w:val="00CD1AFC"/>
    <w:rsid w:val="00CD2678"/>
    <w:rsid w:val="00CF3C40"/>
    <w:rsid w:val="00D15AFA"/>
    <w:rsid w:val="00D17509"/>
    <w:rsid w:val="00D2247F"/>
    <w:rsid w:val="00D53F5C"/>
    <w:rsid w:val="00DD345E"/>
    <w:rsid w:val="00DE3E69"/>
    <w:rsid w:val="00E07B0C"/>
    <w:rsid w:val="00E37D47"/>
    <w:rsid w:val="00E40CCC"/>
    <w:rsid w:val="00E43235"/>
    <w:rsid w:val="00E77C39"/>
    <w:rsid w:val="00E85D32"/>
    <w:rsid w:val="00E871C9"/>
    <w:rsid w:val="00EB6A15"/>
    <w:rsid w:val="00EE7B66"/>
    <w:rsid w:val="00F04F0A"/>
    <w:rsid w:val="00F20BC5"/>
    <w:rsid w:val="00F22694"/>
    <w:rsid w:val="00F473AC"/>
    <w:rsid w:val="00F63700"/>
    <w:rsid w:val="00FA5B66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786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1CF50F8-F12E-4AFE-B881-E10A3C07D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2</TotalTime>
  <Pages>5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2019-12-12T04:59:00Z</dcterms:created>
  <dcterms:modified xsi:type="dcterms:W3CDTF">2019-12-12T04:59:00Z</dcterms:modified>
</cp:coreProperties>
</file>